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A4610">
      <w:pPr>
        <w:autoSpaceDE w:val="0"/>
        <w:autoSpaceDN w:val="0"/>
        <w:spacing w:after="156" w:afterLines="5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南方科技大学医院信息化项目论证</w:t>
      </w:r>
    </w:p>
    <w:p w14:paraId="7D695417">
      <w:pPr>
        <w:autoSpaceDE w:val="0"/>
        <w:autoSpaceDN w:val="0"/>
        <w:spacing w:after="156" w:afterLines="50" w:line="480" w:lineRule="auto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用户需求书</w:t>
      </w:r>
    </w:p>
    <w:p w14:paraId="4CCBE0D4">
      <w:pPr>
        <w:pStyle w:val="12"/>
        <w:ind w:firstLine="210"/>
        <w:rPr>
          <w:rFonts w:hint="eastAsia"/>
        </w:rPr>
      </w:pPr>
    </w:p>
    <w:p w14:paraId="447D0333">
      <w:pPr>
        <w:pStyle w:val="32"/>
        <w:rPr>
          <w:rFonts w:hint="eastAsia"/>
        </w:rPr>
      </w:pPr>
      <w:r>
        <w:rPr>
          <w:rFonts w:hint="eastAsia"/>
        </w:rPr>
        <w:t>项目背景</w:t>
      </w:r>
    </w:p>
    <w:p w14:paraId="056FCC65">
      <w:pPr>
        <w:pStyle w:val="36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新形势下病案首页数据质量和公立医院绩效考核、三级医院评审以及DIP 付费等密切相关，特别是准确的诊断、手术名称及其编码尤为关键。《国务院办公厅关于促进“互联网医疗健康”发展的意见》等国家多项政策文件明确要求全面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推开病案首页书写规范、疾病分类与代码、手术操作分类与代码、医学名词术语“四统一”。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为实现临床诊断术语集标准化规范化、实现临床与病案的工作专业性协同，一次录入多系统共享，提高病案首页及医保结算清单数据的准确性和规范性。</w:t>
      </w:r>
    </w:p>
    <w:p w14:paraId="1765E4D2">
      <w:pPr>
        <w:pStyle w:val="36"/>
        <w:spacing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2EDE4E6">
      <w:pPr>
        <w:pStyle w:val="32"/>
      </w:pPr>
      <w:r>
        <w:rPr>
          <w:rFonts w:hint="eastAsia"/>
        </w:rPr>
        <w:t>项目建设清单</w:t>
      </w:r>
    </w:p>
    <w:p w14:paraId="672575F6">
      <w:pPr>
        <w:ind w:firstLine="720" w:firstLineChars="30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tbl>
      <w:tblPr>
        <w:tblStyle w:val="1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851"/>
        <w:gridCol w:w="1309"/>
        <w:gridCol w:w="841"/>
        <w:gridCol w:w="1604"/>
      </w:tblGrid>
      <w:tr w14:paraId="25666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3" w:type="dxa"/>
            <w:vAlign w:val="center"/>
          </w:tcPr>
          <w:p w14:paraId="262F59DF">
            <w:pPr>
              <w:pStyle w:val="38"/>
              <w:spacing w:line="289" w:lineRule="auto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851" w:type="dxa"/>
            <w:vAlign w:val="center"/>
          </w:tcPr>
          <w:p w14:paraId="028D0402">
            <w:pPr>
              <w:pStyle w:val="38"/>
              <w:spacing w:line="289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309" w:type="dxa"/>
            <w:vAlign w:val="center"/>
          </w:tcPr>
          <w:p w14:paraId="72A2A027">
            <w:pPr>
              <w:pStyle w:val="38"/>
              <w:spacing w:line="289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41" w:type="dxa"/>
            <w:vAlign w:val="center"/>
          </w:tcPr>
          <w:p w14:paraId="64A799BA">
            <w:pPr>
              <w:pStyle w:val="38"/>
              <w:spacing w:line="289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604" w:type="dxa"/>
            <w:vAlign w:val="center"/>
          </w:tcPr>
          <w:p w14:paraId="6F9D1BAB">
            <w:pPr>
              <w:pStyle w:val="38"/>
              <w:spacing w:line="289" w:lineRule="auto"/>
              <w:jc w:val="center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ABAA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73" w:type="dxa"/>
            <w:vAlign w:val="center"/>
          </w:tcPr>
          <w:p w14:paraId="1984186B">
            <w:pPr>
              <w:pStyle w:val="28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51" w:type="dxa"/>
            <w:vAlign w:val="center"/>
          </w:tcPr>
          <w:p w14:paraId="00C49B1B">
            <w:pPr>
              <w:pStyle w:val="8"/>
              <w:spacing w:before="78" w:line="219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临床诊断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手术名称及编码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目录库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系统</w:t>
            </w:r>
          </w:p>
        </w:tc>
        <w:tc>
          <w:tcPr>
            <w:tcW w:w="1309" w:type="dxa"/>
            <w:vAlign w:val="center"/>
          </w:tcPr>
          <w:p w14:paraId="0A34A4A2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1" w:type="dxa"/>
            <w:vAlign w:val="center"/>
          </w:tcPr>
          <w:p w14:paraId="4B36F6EA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1604" w:type="dxa"/>
            <w:vAlign w:val="center"/>
          </w:tcPr>
          <w:p w14:paraId="4716118E">
            <w:pPr>
              <w:pStyle w:val="5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3AF3B84">
      <w:pPr>
        <w:ind w:firstLine="720" w:firstLineChars="30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</w:p>
    <w:p w14:paraId="56DB5D61">
      <w:pPr>
        <w:rPr>
          <w:rFonts w:hint="eastAsia"/>
          <w:color w:val="00B0F0"/>
        </w:rPr>
      </w:pPr>
    </w:p>
    <w:p w14:paraId="0A460620">
      <w:pPr>
        <w:rPr>
          <w:rFonts w:hint="eastAsia"/>
          <w:color w:val="00B0F0"/>
        </w:rPr>
      </w:pPr>
    </w:p>
    <w:p w14:paraId="1D3ADBE3">
      <w:pPr>
        <w:rPr>
          <w:rFonts w:hint="eastAsia"/>
          <w:color w:val="00B0F0"/>
        </w:rPr>
      </w:pPr>
    </w:p>
    <w:p w14:paraId="271E53FE">
      <w:pPr>
        <w:rPr>
          <w:rFonts w:hint="eastAsia"/>
          <w:color w:val="00B0F0"/>
        </w:rPr>
      </w:pPr>
    </w:p>
    <w:p w14:paraId="500ADDE1">
      <w:pPr>
        <w:rPr>
          <w:rFonts w:hint="eastAsia"/>
          <w:color w:val="00B0F0"/>
        </w:rPr>
      </w:pPr>
    </w:p>
    <w:p w14:paraId="0734FE9A">
      <w:pPr>
        <w:rPr>
          <w:rFonts w:hint="eastAsia"/>
          <w:color w:val="00B0F0"/>
        </w:rPr>
      </w:pPr>
    </w:p>
    <w:p w14:paraId="79AD3CCA">
      <w:pPr>
        <w:pStyle w:val="32"/>
        <w:rPr>
          <w:rFonts w:hint="eastAsia"/>
        </w:rPr>
      </w:pPr>
      <w:r>
        <w:rPr>
          <w:rFonts w:hint="eastAsia"/>
        </w:rPr>
        <w:t>项目建设内容</w:t>
      </w:r>
    </w:p>
    <w:tbl>
      <w:tblPr>
        <w:tblStyle w:val="39"/>
        <w:tblW w:w="84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787"/>
        <w:gridCol w:w="6898"/>
      </w:tblGrid>
      <w:tr w14:paraId="3873B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03" w:type="dxa"/>
            <w:vAlign w:val="top"/>
          </w:tcPr>
          <w:p w14:paraId="68ABDF14">
            <w:pPr>
              <w:spacing w:before="129" w:line="338" w:lineRule="auto"/>
              <w:ind w:left="138" w:right="133" w:firstLine="4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8"/>
                <w:sz w:val="22"/>
                <w:szCs w:val="22"/>
              </w:rPr>
              <w:t>功能</w:t>
            </w:r>
          </w:p>
          <w:p w14:paraId="5F2341EC">
            <w:pPr>
              <w:spacing w:before="129" w:line="338" w:lineRule="auto"/>
              <w:ind w:left="138" w:right="133" w:firstLine="4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2"/>
                <w:szCs w:val="22"/>
              </w:rPr>
              <w:t>模块</w:t>
            </w:r>
          </w:p>
        </w:tc>
        <w:tc>
          <w:tcPr>
            <w:tcW w:w="787" w:type="dxa"/>
            <w:vAlign w:val="top"/>
          </w:tcPr>
          <w:p w14:paraId="54997C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1F6BD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明细</w:t>
            </w:r>
          </w:p>
        </w:tc>
        <w:tc>
          <w:tcPr>
            <w:tcW w:w="6898" w:type="dxa"/>
            <w:vAlign w:val="top"/>
          </w:tcPr>
          <w:p w14:paraId="6E048461">
            <w:pPr>
              <w:pStyle w:val="38"/>
              <w:spacing w:line="289" w:lineRule="auto"/>
              <w:jc w:val="left"/>
              <w:rPr>
                <w:rFonts w:hint="eastAsia" w:ascii="宋体" w:hAnsi="宋体" w:eastAsia="宋体" w:cs="宋体"/>
                <w:color w:val="auto"/>
              </w:rPr>
            </w:pPr>
          </w:p>
          <w:p w14:paraId="4967E98F">
            <w:pPr>
              <w:spacing w:before="71" w:line="222" w:lineRule="auto"/>
              <w:ind w:left="2565"/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7"/>
                <w:sz w:val="22"/>
                <w:szCs w:val="22"/>
              </w:rPr>
              <w:t>要求</w:t>
            </w:r>
          </w:p>
        </w:tc>
      </w:tr>
      <w:tr w14:paraId="4503A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803" w:type="dxa"/>
            <w:vMerge w:val="restart"/>
            <w:vAlign w:val="top"/>
          </w:tcPr>
          <w:p w14:paraId="4524948B">
            <w:pPr>
              <w:pStyle w:val="38"/>
              <w:spacing w:line="244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11D26397">
            <w:pPr>
              <w:pStyle w:val="38"/>
              <w:spacing w:line="244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26360397">
            <w:pPr>
              <w:pStyle w:val="38"/>
              <w:spacing w:line="244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7463378D">
            <w:pPr>
              <w:pStyle w:val="38"/>
              <w:spacing w:line="244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207CDDC7">
            <w:pPr>
              <w:pStyle w:val="38"/>
              <w:spacing w:line="244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6C5837EF">
            <w:pPr>
              <w:pStyle w:val="38"/>
              <w:spacing w:line="244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05ED3B02">
            <w:pPr>
              <w:pStyle w:val="38"/>
              <w:spacing w:line="244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6A051989">
            <w:pPr>
              <w:pStyle w:val="38"/>
              <w:spacing w:line="244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4D76CAC3">
            <w:pPr>
              <w:pStyle w:val="38"/>
              <w:spacing w:line="244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10568EA3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3F65058F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37717BB5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0FE3D206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5558A42B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临床诊断手术名称及编码目录库</w:t>
            </w:r>
          </w:p>
          <w:p w14:paraId="7A94B1E7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72B45538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465B7B28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675FF4C2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3CCC5468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10459402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6886654A">
            <w:pPr>
              <w:pStyle w:val="38"/>
              <w:spacing w:line="245" w:lineRule="auto"/>
              <w:rPr>
                <w:rFonts w:hint="eastAsia" w:ascii="宋体" w:hAnsi="宋体" w:eastAsia="宋体" w:cs="宋体"/>
                <w:color w:val="00B0F0"/>
              </w:rPr>
            </w:pPr>
          </w:p>
          <w:p w14:paraId="1F37450A">
            <w:pPr>
              <w:spacing w:before="71" w:line="384" w:lineRule="auto"/>
              <w:ind w:left="141" w:right="133" w:hanging="2"/>
              <w:jc w:val="both"/>
              <w:rPr>
                <w:rFonts w:hint="eastAsia" w:ascii="宋体" w:hAnsi="宋体" w:eastAsia="宋体" w:cs="宋体"/>
                <w:color w:val="00B0F0"/>
                <w:sz w:val="22"/>
                <w:szCs w:val="22"/>
              </w:rPr>
            </w:pPr>
          </w:p>
        </w:tc>
        <w:tc>
          <w:tcPr>
            <w:tcW w:w="787" w:type="dxa"/>
            <w:vMerge w:val="restart"/>
            <w:vAlign w:val="top"/>
          </w:tcPr>
          <w:p w14:paraId="0B4CD7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D8DE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BE01C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2F4D7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32190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85110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ADDA3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99B19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DFD72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C1B34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8B9D8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临床医生端</w:t>
            </w:r>
          </w:p>
          <w:p w14:paraId="39E34B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40121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92534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CBF2C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898" w:type="dxa"/>
            <w:vAlign w:val="top"/>
          </w:tcPr>
          <w:p w14:paraId="794DCB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知识库系统可与电子病历（住院/门诊）相关记录集成，临床医生的初步诊断、补充诊断、修正诊断、出院诊断以临床诊断术语为基础全部可在系统中编辑；系统支持两个界面的诊断手术操作录入，即首页版本和医保结算清单版本，支持两个个版本诊断、手术操作顺序和条目不一致。</w:t>
            </w:r>
          </w:p>
        </w:tc>
      </w:tr>
      <w:tr w14:paraId="7460A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803" w:type="dxa"/>
            <w:vMerge w:val="continue"/>
            <w:tcBorders/>
            <w:vAlign w:val="top"/>
          </w:tcPr>
          <w:p w14:paraId="75A16BF9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27E73463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6898" w:type="dxa"/>
            <w:vAlign w:val="top"/>
          </w:tcPr>
          <w:p w14:paraId="764216AF">
            <w:pPr>
              <w:spacing w:before="225" w:line="379" w:lineRule="auto"/>
              <w:ind w:right="205"/>
              <w:rPr>
                <w:rFonts w:hint="eastAsia" w:ascii="宋体" w:hAnsi="宋体" w:eastAsia="宋体" w:cs="宋体"/>
                <w:color w:val="00B0F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医生一次性选择录入诊断与手术操作术语，自动产生三种形式的诊断结果，分别以病程记录临床诊断书写要求的形式、病案首页ICD国临版诊断手术操作名称和编码与规则要求、结算清单ICD医保版诊断与编码的要求，同步给电子病历系统；不同应用的诊断结果支持分别保存、调用，分别校正等功能。</w:t>
            </w:r>
          </w:p>
        </w:tc>
      </w:tr>
      <w:tr w14:paraId="1B01D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3" w:hRule="atLeast"/>
        </w:trPr>
        <w:tc>
          <w:tcPr>
            <w:tcW w:w="803" w:type="dxa"/>
            <w:vMerge w:val="continue"/>
            <w:tcBorders/>
            <w:vAlign w:val="top"/>
          </w:tcPr>
          <w:p w14:paraId="1D4563FF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04A251FB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6898" w:type="dxa"/>
            <w:vAlign w:val="top"/>
          </w:tcPr>
          <w:p w14:paraId="64D981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color w:val="00B0F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支持临床诊断、手术操作的全程选择录入，规范前后缀的选择范围，前后缀选择与诊断手术操作名称按诊断手术操作表述规则合并；支持临床医生临床诊断录入支持关键字联合检索，支持诊疗习惯记忆功能，辅助临床快速输入，同时支持历史诊断自动检索匹配与复制功能；针对并发或因果关系等需诊断合并时，系统会提示合并，并推荐合并后的编码。</w:t>
            </w:r>
          </w:p>
        </w:tc>
      </w:tr>
      <w:tr w14:paraId="0DD66C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803" w:type="dxa"/>
            <w:vMerge w:val="continue"/>
            <w:tcBorders/>
            <w:vAlign w:val="top"/>
          </w:tcPr>
          <w:p w14:paraId="19A95DC1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1A3789BB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6898" w:type="dxa"/>
            <w:vAlign w:val="top"/>
          </w:tcPr>
          <w:p w14:paraId="3E45E2A6">
            <w:pPr>
              <w:spacing w:before="225" w:line="379" w:lineRule="auto"/>
              <w:ind w:right="173"/>
              <w:rPr>
                <w:rFonts w:hint="eastAsia" w:ascii="宋体" w:hAnsi="宋体" w:eastAsia="宋体" w:cs="宋体"/>
                <w:color w:val="00B0F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支持临床中医主病主证全程选择录入，根据主病主证结果推荐西医临床诊断术语表达，关联国临版诊断与编码、医保版诊断与编码，提高中医病历的正确入组率。</w:t>
            </w:r>
          </w:p>
        </w:tc>
      </w:tr>
      <w:tr w14:paraId="375E3C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803" w:type="dxa"/>
            <w:vMerge w:val="continue"/>
            <w:tcBorders/>
            <w:vAlign w:val="top"/>
          </w:tcPr>
          <w:p w14:paraId="72890F4B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57890CC5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6898" w:type="dxa"/>
            <w:vAlign w:val="top"/>
          </w:tcPr>
          <w:p w14:paraId="3A0387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color w:val="00B0F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支持手术麻醉系统对接，实现基础数据互通：针对需要组合的手术进行打包（包括另编码），同一台手术的所有操作将会打包到一起。</w:t>
            </w:r>
          </w:p>
        </w:tc>
      </w:tr>
      <w:tr w14:paraId="71D03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3" w:type="dxa"/>
            <w:vMerge w:val="continue"/>
            <w:tcBorders/>
            <w:vAlign w:val="top"/>
          </w:tcPr>
          <w:p w14:paraId="34B8492E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2C2DD074">
            <w:pPr>
              <w:spacing w:before="72" w:line="380" w:lineRule="auto"/>
              <w:ind w:left="436" w:right="208" w:hanging="222"/>
              <w:rPr>
                <w:rFonts w:hint="eastAsia" w:ascii="宋体" w:hAnsi="宋体" w:eastAsia="宋体" w:cs="宋体"/>
                <w:color w:val="00B0F0"/>
                <w:sz w:val="22"/>
                <w:szCs w:val="22"/>
              </w:rPr>
            </w:pPr>
          </w:p>
        </w:tc>
        <w:tc>
          <w:tcPr>
            <w:tcW w:w="6898" w:type="dxa"/>
            <w:vAlign w:val="top"/>
          </w:tcPr>
          <w:p w14:paraId="754BCA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color w:val="00B0F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临床编码校验规则：支持在医生输入诊断时，对不符合首页编码规则、DIP编码规则等相关规则即时提醒。</w:t>
            </w:r>
          </w:p>
        </w:tc>
      </w:tr>
      <w:tr w14:paraId="1214D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803" w:type="dxa"/>
            <w:vMerge w:val="continue"/>
            <w:tcBorders/>
            <w:vAlign w:val="top"/>
          </w:tcPr>
          <w:p w14:paraId="7D79323F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2B06CA40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6898" w:type="dxa"/>
            <w:vAlign w:val="top"/>
          </w:tcPr>
          <w:p w14:paraId="694179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color w:val="00B0F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集成科室的高频词列表，方便医生快速录入相关高频诊断；支持不同病程选择性插入相关诊断与手术操作；支持肿瘤类诊断数据提醒，将肿瘤类的相关术语转换为对应病理类的临床术语；支持临床端书写模糊类诊断，给予相关提示。</w:t>
            </w:r>
          </w:p>
        </w:tc>
      </w:tr>
      <w:tr w14:paraId="7A66F9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803" w:type="dxa"/>
            <w:vMerge w:val="continue"/>
            <w:tcBorders/>
            <w:vAlign w:val="top"/>
          </w:tcPr>
          <w:p w14:paraId="22685ED1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263782AA">
            <w:pPr>
              <w:pStyle w:val="38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98" w:type="dxa"/>
            <w:vAlign w:val="top"/>
          </w:tcPr>
          <w:p w14:paraId="1A061F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与院内手术分级备案系统接口的对接，在临床端录入手术时对手术备案信息进行备案提醒；医生录入未在手术备案系统中备案的相关手术时，智库模块及时提醒该手术未备案，请及时备案。</w:t>
            </w:r>
          </w:p>
        </w:tc>
      </w:tr>
      <w:tr w14:paraId="61160D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03" w:type="dxa"/>
            <w:vMerge w:val="continue"/>
            <w:tcBorders/>
            <w:vAlign w:val="top"/>
          </w:tcPr>
          <w:p w14:paraId="569C5FC2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restart"/>
            <w:vAlign w:val="top"/>
          </w:tcPr>
          <w:p w14:paraId="505F5D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63D29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58D34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B691F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EADC4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病案编码员端</w:t>
            </w:r>
          </w:p>
        </w:tc>
        <w:tc>
          <w:tcPr>
            <w:tcW w:w="6898" w:type="dxa"/>
            <w:vAlign w:val="top"/>
          </w:tcPr>
          <w:p w14:paraId="41C6CE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界面展示临床诊断手术操作描述、国临版名称和编码、医保名称和编码，支持两套编码（国临版/医保版）分别进行二次审核确认。</w:t>
            </w:r>
          </w:p>
        </w:tc>
      </w:tr>
      <w:tr w14:paraId="75CB8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03" w:type="dxa"/>
            <w:vMerge w:val="continue"/>
            <w:tcBorders/>
            <w:vAlign w:val="top"/>
          </w:tcPr>
          <w:p w14:paraId="75A7E66C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53BCD7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898" w:type="dxa"/>
            <w:vAlign w:val="top"/>
          </w:tcPr>
          <w:p w14:paraId="69CD4E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系统可提供并持续完善更新编码校验规则（含首页编码规则、医保灰码、不予上传的医保编码等）。</w:t>
            </w:r>
          </w:p>
        </w:tc>
      </w:tr>
      <w:tr w14:paraId="424AE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803" w:type="dxa"/>
            <w:vMerge w:val="continue"/>
            <w:tcBorders/>
            <w:vAlign w:val="top"/>
          </w:tcPr>
          <w:p w14:paraId="5CE73E0A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345999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898" w:type="dxa"/>
            <w:vAlign w:val="top"/>
          </w:tcPr>
          <w:p w14:paraId="3A662F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支持编码员工作量、编码准确率、医生诊断及手术操作填写准确率等相关工作量和质量报表查询。</w:t>
            </w:r>
          </w:p>
        </w:tc>
      </w:tr>
      <w:tr w14:paraId="3A303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03" w:type="dxa"/>
            <w:vMerge w:val="continue"/>
            <w:tcBorders/>
            <w:vAlign w:val="top"/>
          </w:tcPr>
          <w:p w14:paraId="2C18E31D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551A6F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898" w:type="dxa"/>
            <w:vAlign w:val="top"/>
          </w:tcPr>
          <w:p w14:paraId="5BA0C78A">
            <w:pPr>
              <w:pStyle w:val="38"/>
              <w:spacing w:line="245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可随时更新和增补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临床诊断手术名称及编码目录库。</w:t>
            </w:r>
          </w:p>
        </w:tc>
      </w:tr>
      <w:tr w14:paraId="21914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803" w:type="dxa"/>
            <w:vMerge w:val="continue"/>
            <w:tcBorders/>
            <w:vAlign w:val="top"/>
          </w:tcPr>
          <w:p w14:paraId="723B5AE9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restart"/>
            <w:vAlign w:val="top"/>
          </w:tcPr>
          <w:p w14:paraId="2B3955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3A943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F770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88247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C23A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378F2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F63D1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病案首页及医保结算清单质控</w:t>
            </w:r>
          </w:p>
        </w:tc>
        <w:tc>
          <w:tcPr>
            <w:tcW w:w="6898" w:type="dxa"/>
            <w:vAlign w:val="top"/>
          </w:tcPr>
          <w:p w14:paraId="0F372362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支持临床自患者住院第二天至办理出院前的整个诊疗过程中，根据当前的有效信息，包括但不限于：基本信息、诊疗信息、费用信息等进行即时质控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156AC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803" w:type="dxa"/>
            <w:vMerge w:val="continue"/>
            <w:tcBorders/>
            <w:vAlign w:val="top"/>
          </w:tcPr>
          <w:p w14:paraId="6FE7F954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23106876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6898" w:type="dxa"/>
            <w:vAlign w:val="top"/>
          </w:tcPr>
          <w:p w14:paraId="61183897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首页诊疗信息与编码知识库出院诊断结果信息同步，无需二次录入，获取包括诊断及ICD国临版编码、手术操作及ICD国临版编码、中医症候及ICD国临版编码、损伤中毒信息及ICD国临版编码、病理信息及ICD国临版编码、手术级别、术者、切口及愈合等级、麻醉方式、麻醉医生、手术时间、麻醉时间等核心诊疗信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38423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03" w:type="dxa"/>
            <w:vMerge w:val="continue"/>
            <w:tcBorders/>
            <w:vAlign w:val="top"/>
          </w:tcPr>
          <w:p w14:paraId="73D89AF8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071A28EF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6898" w:type="dxa"/>
            <w:vAlign w:val="top"/>
          </w:tcPr>
          <w:p w14:paraId="0ED42A26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支持质控结果即时反馈，能够有效定位到具体的结果对应的字段位置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46D300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26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C82E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03" w:type="dxa"/>
            <w:vMerge w:val="continue"/>
            <w:tcBorders/>
            <w:vAlign w:val="top"/>
          </w:tcPr>
          <w:p w14:paraId="4B2684F8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Merge w:val="continue"/>
            <w:vAlign w:val="top"/>
          </w:tcPr>
          <w:p w14:paraId="3AD28440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6898" w:type="dxa"/>
            <w:vAlign w:val="top"/>
          </w:tcPr>
          <w:p w14:paraId="247EDC59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生成首页/医保结算清单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质控数据分析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报表。</w:t>
            </w:r>
          </w:p>
        </w:tc>
      </w:tr>
      <w:tr w14:paraId="3F121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03" w:type="dxa"/>
            <w:vMerge w:val="continue"/>
            <w:tcBorders/>
            <w:vAlign w:val="top"/>
          </w:tcPr>
          <w:p w14:paraId="53D95A78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</w:tc>
        <w:tc>
          <w:tcPr>
            <w:tcW w:w="787" w:type="dxa"/>
            <w:vAlign w:val="top"/>
          </w:tcPr>
          <w:p w14:paraId="19F26C15">
            <w:pPr>
              <w:pStyle w:val="38"/>
              <w:rPr>
                <w:rFonts w:hint="eastAsia" w:ascii="宋体" w:hAnsi="宋体" w:eastAsia="宋体" w:cs="宋体"/>
                <w:color w:val="00B0F0"/>
              </w:rPr>
            </w:pPr>
          </w:p>
          <w:p w14:paraId="72A0F622">
            <w:pPr>
              <w:bidi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898" w:type="dxa"/>
            <w:vAlign w:val="top"/>
          </w:tcPr>
          <w:p w14:paraId="05CA247A">
            <w:pPr>
              <w:numPr>
                <w:ilvl w:val="0"/>
                <w:numId w:val="0"/>
              </w:numPr>
              <w:tabs>
                <w:tab w:val="left" w:pos="694"/>
              </w:tabs>
              <w:spacing w:line="360" w:lineRule="auto"/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需要与医院系统开展系统开展对接，包括但不限于HIS/LIS/PACS系统、手麻系统、医保系统、病案系统等</w:t>
            </w:r>
            <w:bookmarkStart w:id="0" w:name="_GoBack"/>
            <w:bookmarkEnd w:id="0"/>
          </w:p>
        </w:tc>
      </w:tr>
    </w:tbl>
    <w:p w14:paraId="31A7E847">
      <w:pPr>
        <w:tabs>
          <w:tab w:val="left" w:pos="835"/>
        </w:tabs>
        <w:bidi w:val="0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403E7788">
      <w:pPr>
        <w:pStyle w:val="32"/>
        <w:rPr>
          <w:rFonts w:hint="eastAsia"/>
        </w:rPr>
      </w:pPr>
      <w:r>
        <w:rPr>
          <w:rFonts w:hint="eastAsia"/>
        </w:rPr>
        <w:t>项目预算说明</w:t>
      </w:r>
    </w:p>
    <w:p w14:paraId="38DB0A3C">
      <w:pPr>
        <w:spacing w:line="36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根据建设内容给出项目申请预算表或给出市场询价报告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</w:rPr>
        <w:t>不限于其他医院类似项目的合同价，相关网站类似项目中标价或咨询相关厂家报价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。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664B2"/>
    <w:multiLevelType w:val="multilevel"/>
    <w:tmpl w:val="449664B2"/>
    <w:lvl w:ilvl="0" w:tentative="0">
      <w:start w:val="1"/>
      <w:numFmt w:val="chineseCountingThousand"/>
      <w:pStyle w:val="32"/>
      <w:suff w:val="space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Times New Roman" w:hAnsi="Times New Roman" w:cs="Times New Roman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Times New Roman" w:hAnsi="Times New Roman" w:eastAsia="黑体"/>
        <w:sz w:val="24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sz w:val="24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yZjA1ZGU3MDhlY2ZhN2E5OTYyN2U2NDRiZGFiZDkifQ=="/>
  </w:docVars>
  <w:rsids>
    <w:rsidRoot w:val="00D67FAC"/>
    <w:rsid w:val="00003119"/>
    <w:rsid w:val="00021E12"/>
    <w:rsid w:val="00046A21"/>
    <w:rsid w:val="000565A6"/>
    <w:rsid w:val="000918D8"/>
    <w:rsid w:val="0009294F"/>
    <w:rsid w:val="000D33F9"/>
    <w:rsid w:val="000D5EFD"/>
    <w:rsid w:val="000F2D3A"/>
    <w:rsid w:val="000F67EF"/>
    <w:rsid w:val="00102CF8"/>
    <w:rsid w:val="00122E11"/>
    <w:rsid w:val="001454C2"/>
    <w:rsid w:val="00164B03"/>
    <w:rsid w:val="00192D51"/>
    <w:rsid w:val="001A1B31"/>
    <w:rsid w:val="001A2B04"/>
    <w:rsid w:val="001A2FAB"/>
    <w:rsid w:val="001A30FF"/>
    <w:rsid w:val="001A3D94"/>
    <w:rsid w:val="001B4025"/>
    <w:rsid w:val="00201953"/>
    <w:rsid w:val="00201AC6"/>
    <w:rsid w:val="0022242C"/>
    <w:rsid w:val="002233BD"/>
    <w:rsid w:val="0022445E"/>
    <w:rsid w:val="00245AF8"/>
    <w:rsid w:val="00264B20"/>
    <w:rsid w:val="002714DB"/>
    <w:rsid w:val="0027199D"/>
    <w:rsid w:val="00271F48"/>
    <w:rsid w:val="00285FA4"/>
    <w:rsid w:val="002B2C33"/>
    <w:rsid w:val="002C6D6C"/>
    <w:rsid w:val="002E0BB1"/>
    <w:rsid w:val="002E18A3"/>
    <w:rsid w:val="002E2F50"/>
    <w:rsid w:val="002E6044"/>
    <w:rsid w:val="00305350"/>
    <w:rsid w:val="00350E52"/>
    <w:rsid w:val="003524F1"/>
    <w:rsid w:val="003578E6"/>
    <w:rsid w:val="00375A16"/>
    <w:rsid w:val="003930B0"/>
    <w:rsid w:val="003D53E2"/>
    <w:rsid w:val="003E032A"/>
    <w:rsid w:val="003F51B3"/>
    <w:rsid w:val="0041372B"/>
    <w:rsid w:val="00414654"/>
    <w:rsid w:val="00415B9A"/>
    <w:rsid w:val="004300D2"/>
    <w:rsid w:val="004346BA"/>
    <w:rsid w:val="00440F6B"/>
    <w:rsid w:val="00441FBC"/>
    <w:rsid w:val="00443998"/>
    <w:rsid w:val="0045183B"/>
    <w:rsid w:val="00453518"/>
    <w:rsid w:val="00457597"/>
    <w:rsid w:val="004612DE"/>
    <w:rsid w:val="004C0FA8"/>
    <w:rsid w:val="004C3389"/>
    <w:rsid w:val="004E50F9"/>
    <w:rsid w:val="004F5CDC"/>
    <w:rsid w:val="00521F58"/>
    <w:rsid w:val="0052608C"/>
    <w:rsid w:val="005313F2"/>
    <w:rsid w:val="00573940"/>
    <w:rsid w:val="00576A94"/>
    <w:rsid w:val="00585497"/>
    <w:rsid w:val="00593D40"/>
    <w:rsid w:val="005961B3"/>
    <w:rsid w:val="005A6509"/>
    <w:rsid w:val="005B0A1E"/>
    <w:rsid w:val="005B790D"/>
    <w:rsid w:val="005C3252"/>
    <w:rsid w:val="005E5177"/>
    <w:rsid w:val="00612624"/>
    <w:rsid w:val="00613F88"/>
    <w:rsid w:val="006172D1"/>
    <w:rsid w:val="0062252D"/>
    <w:rsid w:val="00625FDE"/>
    <w:rsid w:val="00634743"/>
    <w:rsid w:val="006426F1"/>
    <w:rsid w:val="00644919"/>
    <w:rsid w:val="00650FEE"/>
    <w:rsid w:val="00654F2C"/>
    <w:rsid w:val="00656060"/>
    <w:rsid w:val="00657569"/>
    <w:rsid w:val="00662DD1"/>
    <w:rsid w:val="006744F4"/>
    <w:rsid w:val="00693430"/>
    <w:rsid w:val="006C723D"/>
    <w:rsid w:val="006D4096"/>
    <w:rsid w:val="007068DC"/>
    <w:rsid w:val="007203E7"/>
    <w:rsid w:val="00731190"/>
    <w:rsid w:val="007354E1"/>
    <w:rsid w:val="00745220"/>
    <w:rsid w:val="00747424"/>
    <w:rsid w:val="007669A5"/>
    <w:rsid w:val="00774264"/>
    <w:rsid w:val="007946EE"/>
    <w:rsid w:val="007A731B"/>
    <w:rsid w:val="007B0268"/>
    <w:rsid w:val="007B428F"/>
    <w:rsid w:val="007C1B60"/>
    <w:rsid w:val="007E10C3"/>
    <w:rsid w:val="007F79DF"/>
    <w:rsid w:val="0080411A"/>
    <w:rsid w:val="008107BD"/>
    <w:rsid w:val="00814163"/>
    <w:rsid w:val="008203E2"/>
    <w:rsid w:val="00827D8A"/>
    <w:rsid w:val="00836E17"/>
    <w:rsid w:val="008402BD"/>
    <w:rsid w:val="0085137E"/>
    <w:rsid w:val="008647B0"/>
    <w:rsid w:val="008734FC"/>
    <w:rsid w:val="008767D1"/>
    <w:rsid w:val="008856B2"/>
    <w:rsid w:val="008A5BA3"/>
    <w:rsid w:val="008B27D9"/>
    <w:rsid w:val="008B43E7"/>
    <w:rsid w:val="008C788B"/>
    <w:rsid w:val="008D03B9"/>
    <w:rsid w:val="008F152D"/>
    <w:rsid w:val="008F7A0A"/>
    <w:rsid w:val="00913711"/>
    <w:rsid w:val="00953FF8"/>
    <w:rsid w:val="0095525E"/>
    <w:rsid w:val="00963E7D"/>
    <w:rsid w:val="00970F4F"/>
    <w:rsid w:val="0097796D"/>
    <w:rsid w:val="00992DBF"/>
    <w:rsid w:val="009965C7"/>
    <w:rsid w:val="009C6EE3"/>
    <w:rsid w:val="009D0E57"/>
    <w:rsid w:val="009D7104"/>
    <w:rsid w:val="009E0DBB"/>
    <w:rsid w:val="009E408F"/>
    <w:rsid w:val="009F0664"/>
    <w:rsid w:val="00A11C02"/>
    <w:rsid w:val="00A201CF"/>
    <w:rsid w:val="00A31F00"/>
    <w:rsid w:val="00A34F5A"/>
    <w:rsid w:val="00A4510D"/>
    <w:rsid w:val="00A526C5"/>
    <w:rsid w:val="00A81247"/>
    <w:rsid w:val="00A817F6"/>
    <w:rsid w:val="00AA28FD"/>
    <w:rsid w:val="00AA6765"/>
    <w:rsid w:val="00AB7704"/>
    <w:rsid w:val="00AC195A"/>
    <w:rsid w:val="00AD2D97"/>
    <w:rsid w:val="00AD76E5"/>
    <w:rsid w:val="00AE450C"/>
    <w:rsid w:val="00AE5D4B"/>
    <w:rsid w:val="00B0439A"/>
    <w:rsid w:val="00B155C5"/>
    <w:rsid w:val="00B16332"/>
    <w:rsid w:val="00B25375"/>
    <w:rsid w:val="00B3341C"/>
    <w:rsid w:val="00B52A9E"/>
    <w:rsid w:val="00B52C9C"/>
    <w:rsid w:val="00B827FD"/>
    <w:rsid w:val="00BA03BD"/>
    <w:rsid w:val="00BA6BD2"/>
    <w:rsid w:val="00BD7C4B"/>
    <w:rsid w:val="00BE1693"/>
    <w:rsid w:val="00BF2657"/>
    <w:rsid w:val="00C0300F"/>
    <w:rsid w:val="00C127C9"/>
    <w:rsid w:val="00C229F9"/>
    <w:rsid w:val="00C31E1F"/>
    <w:rsid w:val="00C40014"/>
    <w:rsid w:val="00C42675"/>
    <w:rsid w:val="00C54C73"/>
    <w:rsid w:val="00C5634E"/>
    <w:rsid w:val="00C6499D"/>
    <w:rsid w:val="00C86843"/>
    <w:rsid w:val="00C93DF9"/>
    <w:rsid w:val="00C93F4C"/>
    <w:rsid w:val="00C96E71"/>
    <w:rsid w:val="00CD05A6"/>
    <w:rsid w:val="00CD3D41"/>
    <w:rsid w:val="00CE3038"/>
    <w:rsid w:val="00CF58CA"/>
    <w:rsid w:val="00D0156D"/>
    <w:rsid w:val="00D01F8D"/>
    <w:rsid w:val="00D11499"/>
    <w:rsid w:val="00D41797"/>
    <w:rsid w:val="00D45C97"/>
    <w:rsid w:val="00D526EE"/>
    <w:rsid w:val="00D52E77"/>
    <w:rsid w:val="00D5507A"/>
    <w:rsid w:val="00D559D4"/>
    <w:rsid w:val="00D60F63"/>
    <w:rsid w:val="00D62545"/>
    <w:rsid w:val="00D63276"/>
    <w:rsid w:val="00D67FAC"/>
    <w:rsid w:val="00D83EB7"/>
    <w:rsid w:val="00D925A6"/>
    <w:rsid w:val="00D96616"/>
    <w:rsid w:val="00DA1BF8"/>
    <w:rsid w:val="00DD43F8"/>
    <w:rsid w:val="00DE1407"/>
    <w:rsid w:val="00E101D2"/>
    <w:rsid w:val="00E14234"/>
    <w:rsid w:val="00E2436C"/>
    <w:rsid w:val="00E367CF"/>
    <w:rsid w:val="00E37F8E"/>
    <w:rsid w:val="00E43D76"/>
    <w:rsid w:val="00E45AB8"/>
    <w:rsid w:val="00E46A83"/>
    <w:rsid w:val="00E64103"/>
    <w:rsid w:val="00E67891"/>
    <w:rsid w:val="00E728F4"/>
    <w:rsid w:val="00E853DF"/>
    <w:rsid w:val="00E91D0F"/>
    <w:rsid w:val="00EA5AE3"/>
    <w:rsid w:val="00EB75A6"/>
    <w:rsid w:val="00EC10D9"/>
    <w:rsid w:val="00EE229F"/>
    <w:rsid w:val="00EF0827"/>
    <w:rsid w:val="00F02A82"/>
    <w:rsid w:val="00F04A08"/>
    <w:rsid w:val="00F5068E"/>
    <w:rsid w:val="00F561E8"/>
    <w:rsid w:val="00F63A3D"/>
    <w:rsid w:val="00F91B93"/>
    <w:rsid w:val="00FA2FAD"/>
    <w:rsid w:val="00FA75B9"/>
    <w:rsid w:val="00FB44F3"/>
    <w:rsid w:val="00FE7E87"/>
    <w:rsid w:val="01050944"/>
    <w:rsid w:val="0AFE53BA"/>
    <w:rsid w:val="0CE074B3"/>
    <w:rsid w:val="0EF56F8E"/>
    <w:rsid w:val="10787CEF"/>
    <w:rsid w:val="17E23E67"/>
    <w:rsid w:val="19EE5EC6"/>
    <w:rsid w:val="1A3D12D5"/>
    <w:rsid w:val="1CE35889"/>
    <w:rsid w:val="1DB16D74"/>
    <w:rsid w:val="20700ABB"/>
    <w:rsid w:val="22C14660"/>
    <w:rsid w:val="23DE2F9B"/>
    <w:rsid w:val="240813BE"/>
    <w:rsid w:val="27416E93"/>
    <w:rsid w:val="27B03EBE"/>
    <w:rsid w:val="28BF71F2"/>
    <w:rsid w:val="2CF75313"/>
    <w:rsid w:val="2DDB2E87"/>
    <w:rsid w:val="304E0D74"/>
    <w:rsid w:val="3390171E"/>
    <w:rsid w:val="33B32FAD"/>
    <w:rsid w:val="347C6618"/>
    <w:rsid w:val="34BD5094"/>
    <w:rsid w:val="37310572"/>
    <w:rsid w:val="39A65A68"/>
    <w:rsid w:val="39E82BB3"/>
    <w:rsid w:val="39FD16EB"/>
    <w:rsid w:val="3A1439A9"/>
    <w:rsid w:val="3A62052C"/>
    <w:rsid w:val="3B00273E"/>
    <w:rsid w:val="3DBB413B"/>
    <w:rsid w:val="3F925EEC"/>
    <w:rsid w:val="40555947"/>
    <w:rsid w:val="40C30F21"/>
    <w:rsid w:val="446C2633"/>
    <w:rsid w:val="45E604ED"/>
    <w:rsid w:val="464A0752"/>
    <w:rsid w:val="49AF5770"/>
    <w:rsid w:val="4B851AD0"/>
    <w:rsid w:val="4BDF193C"/>
    <w:rsid w:val="4DDB31F5"/>
    <w:rsid w:val="4F5C39D0"/>
    <w:rsid w:val="50F978D6"/>
    <w:rsid w:val="51A476D1"/>
    <w:rsid w:val="5AAE2166"/>
    <w:rsid w:val="5BFD609E"/>
    <w:rsid w:val="5C137A32"/>
    <w:rsid w:val="5C1706E6"/>
    <w:rsid w:val="5DB22F1B"/>
    <w:rsid w:val="60C43183"/>
    <w:rsid w:val="632F43F6"/>
    <w:rsid w:val="63857C26"/>
    <w:rsid w:val="64AF5EEE"/>
    <w:rsid w:val="667D0554"/>
    <w:rsid w:val="6A22199E"/>
    <w:rsid w:val="6C1A459F"/>
    <w:rsid w:val="6F6168C0"/>
    <w:rsid w:val="73513D33"/>
    <w:rsid w:val="73814F04"/>
    <w:rsid w:val="73872625"/>
    <w:rsid w:val="77F4552C"/>
    <w:rsid w:val="782A25CF"/>
    <w:rsid w:val="78A70F68"/>
    <w:rsid w:val="7AE00CFB"/>
    <w:rsid w:val="7C0F7CC8"/>
    <w:rsid w:val="7CE00428"/>
    <w:rsid w:val="7E4E0906"/>
    <w:rsid w:val="7F1F71B2"/>
    <w:rsid w:val="7F4951D2"/>
    <w:rsid w:val="7F566A71"/>
    <w:rsid w:val="7FE4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spacing w:line="400" w:lineRule="exact"/>
      <w:ind w:firstLine="420" w:firstLineChars="200"/>
    </w:pPr>
    <w:rPr>
      <w:rFonts w:ascii="宋体" w:hAnsi="Courier New" w:eastAsiaTheme="minorEastAsia"/>
      <w:b/>
      <w:sz w:val="21"/>
      <w:szCs w:val="20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8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9">
    <w:name w:val="footer"/>
    <w:basedOn w:val="1"/>
    <w:qFormat/>
    <w:uiPriority w:val="0"/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11">
    <w:name w:val="Title"/>
    <w:basedOn w:val="1"/>
    <w:next w:val="1"/>
    <w:link w:val="3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Body Text First Indent"/>
    <w:basedOn w:val="8"/>
    <w:qFormat/>
    <w:uiPriority w:val="0"/>
    <w:pPr>
      <w:ind w:firstLine="420" w:firstLineChars="100"/>
    </w:pPr>
  </w:style>
  <w:style w:type="table" w:styleId="14">
    <w:name w:val="Table Grid"/>
    <w:basedOn w:val="13"/>
    <w:autoRedefine/>
    <w:qFormat/>
    <w:uiPriority w:val="59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annotation reference"/>
    <w:qFormat/>
    <w:uiPriority w:val="0"/>
    <w:rPr>
      <w:sz w:val="21"/>
    </w:rPr>
  </w:style>
  <w:style w:type="character" w:customStyle="1" w:styleId="18">
    <w:name w:val="标题 3 字符"/>
    <w:basedOn w:val="15"/>
    <w:autoRedefine/>
    <w:qFormat/>
    <w:uiPriority w:val="0"/>
    <w:rPr>
      <w:b/>
      <w:kern w:val="2"/>
      <w:sz w:val="32"/>
    </w:rPr>
  </w:style>
  <w:style w:type="character" w:customStyle="1" w:styleId="19">
    <w:name w:val="标题 4 字符"/>
    <w:basedOn w:val="15"/>
    <w:autoRedefine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0">
    <w:name w:val="正文文本 字符"/>
    <w:basedOn w:val="15"/>
    <w:qFormat/>
    <w:uiPriority w:val="0"/>
    <w:rPr>
      <w:rFonts w:ascii="宋体" w:hAnsi="宋体" w:eastAsia="宋体" w:cs="宋体"/>
      <w:sz w:val="21"/>
    </w:rPr>
  </w:style>
  <w:style w:type="paragraph" w:customStyle="1" w:styleId="21">
    <w:name w:val="正文缩进_0"/>
    <w:basedOn w:val="22"/>
    <w:autoRedefine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22">
    <w:name w:val="正文_1"/>
    <w:autoRedefine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23">
    <w:name w:val="批注文字 字符1"/>
    <w:autoRedefine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24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5">
    <w:name w:val="正文缩进 Char_0"/>
    <w:autoRedefine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6">
    <w:name w:val="页脚 字符"/>
    <w:basedOn w:val="15"/>
    <w:qFormat/>
    <w:uiPriority w:val="0"/>
    <w:rPr>
      <w:kern w:val="2"/>
      <w:sz w:val="18"/>
    </w:rPr>
  </w:style>
  <w:style w:type="character" w:customStyle="1" w:styleId="27">
    <w:name w:val="页眉 字符"/>
    <w:basedOn w:val="15"/>
    <w:autoRedefine/>
    <w:qFormat/>
    <w:uiPriority w:val="0"/>
    <w:rPr>
      <w:kern w:val="2"/>
      <w:sz w:val="18"/>
    </w:r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customStyle="1" w:styleId="29">
    <w:name w:val="列表段落 字符"/>
    <w:autoRedefine/>
    <w:qFormat/>
    <w:uiPriority w:val="0"/>
    <w:rPr>
      <w:kern w:val="2"/>
      <w:sz w:val="21"/>
    </w:rPr>
  </w:style>
  <w:style w:type="character" w:customStyle="1" w:styleId="30">
    <w:name w:val="批注文字 字符"/>
    <w:basedOn w:val="15"/>
    <w:autoRedefine/>
    <w:qFormat/>
    <w:uiPriority w:val="0"/>
    <w:rPr>
      <w:kern w:val="2"/>
      <w:sz w:val="21"/>
    </w:rPr>
  </w:style>
  <w:style w:type="paragraph" w:customStyle="1" w:styleId="31">
    <w:name w:val="监测指标、参考指标"/>
    <w:basedOn w:val="1"/>
    <w:qFormat/>
    <w:uiPriority w:val="0"/>
    <w:pPr>
      <w:outlineLvl w:val="1"/>
    </w:pPr>
    <w:rPr>
      <w:rFonts w:eastAsia="仿宋_GB2312"/>
      <w:b/>
      <w:sz w:val="28"/>
      <w:szCs w:val="28"/>
    </w:rPr>
  </w:style>
  <w:style w:type="paragraph" w:customStyle="1" w:styleId="32">
    <w:name w:val="各章标题（方案）"/>
    <w:basedOn w:val="11"/>
    <w:next w:val="1"/>
    <w:link w:val="33"/>
    <w:autoRedefine/>
    <w:qFormat/>
    <w:uiPriority w:val="0"/>
    <w:pPr>
      <w:numPr>
        <w:ilvl w:val="0"/>
        <w:numId w:val="1"/>
      </w:numPr>
      <w:spacing w:before="480" w:after="360"/>
    </w:pPr>
    <w:rPr>
      <w:rFonts w:ascii="黑体" w:hAnsi="黑体" w:eastAsia="黑体"/>
    </w:rPr>
  </w:style>
  <w:style w:type="character" w:customStyle="1" w:styleId="33">
    <w:name w:val="各章标题（方案） 字符"/>
    <w:basedOn w:val="34"/>
    <w:link w:val="32"/>
    <w:qFormat/>
    <w:uiPriority w:val="0"/>
    <w:rPr>
      <w:rFonts w:ascii="黑体" w:hAnsi="黑体" w:eastAsia="黑体" w:cstheme="majorBidi"/>
      <w:kern w:val="2"/>
      <w:sz w:val="32"/>
      <w:szCs w:val="32"/>
    </w:rPr>
  </w:style>
  <w:style w:type="character" w:customStyle="1" w:styleId="34">
    <w:name w:val="标题 字符"/>
    <w:basedOn w:val="15"/>
    <w:link w:val="11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3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customStyle="1" w:styleId="36">
    <w:name w:val="段落文字（正文）"/>
    <w:basedOn w:val="1"/>
    <w:link w:val="37"/>
    <w:qFormat/>
    <w:uiPriority w:val="0"/>
    <w:rPr>
      <w:szCs w:val="22"/>
    </w:rPr>
  </w:style>
  <w:style w:type="character" w:customStyle="1" w:styleId="37">
    <w:name w:val="段落文字（正文） 字符"/>
    <w:basedOn w:val="15"/>
    <w:link w:val="36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3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1"/>
    <w:basedOn w:val="15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1593</Words>
  <Characters>1611</Characters>
  <Lines>21</Lines>
  <Paragraphs>6</Paragraphs>
  <TotalTime>19</TotalTime>
  <ScaleCrop>false</ScaleCrop>
  <LinksUpToDate>false</LinksUpToDate>
  <CharactersWithSpaces>1612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2023-05-31T00:58:00Z</dcterms:created>
  <dc:creator>DingTalk</dc:creator>
  <dc:description>DingTalk Document</dc:description>
  <cp:lastModifiedBy>感恩的心</cp:lastModifiedBy>
  <dcterms:modified xsi:type="dcterms:W3CDTF">2025-07-16T01:03:36Z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399D9A2FC44A4F30B9FD26544DB0685A_13</vt:lpwstr>
  </property>
  <property fmtid="{D5CDD505-2E9C-101B-9397-08002B2CF9AE}" pid="4" name="KSOTemplateDocerSaveRecord">
    <vt:lpwstr>eyJoZGlkIjoiZGJiZjRkZjc0MWQ2ZmExYmQ1NTVjNmIzMmE3ZGI2NmUiLCJ1c2VySWQiOiI5ODIwMDQ0NDAifQ==</vt:lpwstr>
  </property>
</Properties>
</file>